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Bristol East</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Bristol East</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Bristol East</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Bristol East</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Bristol East</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7.8%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Bristol East are estimated to have a score of 1-2 on the PGSI (low-risk gambling), whilst </w:t>
      </w:r>
      <w:r w:rsidRPr="00773DF7">
        <w:rPr>
          <w:rFonts w:ascii="Libre Franklin Light" w:hAnsi="Libre Franklin Light" w:cs="Calibri Light"/>
          <w:b/>
          <w:bCs/>
          <w:color w:val="C45911" w:themeColor="accent2" w:themeShade="BF"/>
        </w:rPr>
        <w:t xml:space="preserve">5.1%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3.5%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65.8% </w:t>
      </w:r>
      <w:r w:rsidRPr="004747BF">
        <w:rPr>
          <w:rFonts w:ascii="Libre Franklin Light" w:eastAsia="Times New Roman" w:hAnsi="Libre Franklin Light" w:cs="Calibri Light"/>
        </w:rPr>
        <w:t xml:space="preserve">of those respondents classified as PGSI 8+ in Bristol East</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Bristol East is estimated to be </w:t>
      </w:r>
      <w:r w:rsidRPr="00773DF7">
        <w:rPr>
          <w:rFonts w:ascii="Libre Franklin Light" w:eastAsia="Times New Roman" w:hAnsi="Libre Franklin Light" w:cs="Calibri Light"/>
          <w:b/>
          <w:bCs/>
          <w:color w:val="C45911" w:themeColor="accent2" w:themeShade="BF"/>
        </w:rPr>
        <w:t xml:space="preserve">£2,324,583</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Bristol East</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16.4%</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Bristol East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7.8%</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Bristol East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5.1%</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Bristol East</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3.5%</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similar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Bristol East.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Bristol East</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Bristol East.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Bristol East</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11.5%</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27.7%</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Bristol East</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65.8%</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Bristol East.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Bristol East</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11.4%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28.0%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Bristol East</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Bristol East</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63.9%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Bristol East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Bristol East</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Bristol East</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£2,324,583</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Bristol East</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£37,864</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£783,041</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£56,094</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£15,777</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£28,924</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£1,402,883</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£2,324,583</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Bristol East</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Bristol East</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27.9%</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Bristol East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21.5%</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Bristol East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24.1%</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Bristol East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Bristol East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65.2%</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Bristol East</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27.9%</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Bristol East</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21.5%</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Bristol East</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24.1%</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Bristol East</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Bristol East</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65.2%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Bristol East</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8AFA2CE3-DC5A-4C81-8C8A-BD06C97263C7}"/>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